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0F4E" w14:textId="73427403" w:rsidR="00615D51" w:rsidRDefault="002155E0" w:rsidP="00161DCB">
      <w:pPr>
        <w:pStyle w:val="Title"/>
        <w:rPr>
          <w:lang w:val="en-A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965963" wp14:editId="54AF46F4">
            <wp:simplePos x="0" y="0"/>
            <wp:positionH relativeFrom="column">
              <wp:posOffset>-520065</wp:posOffset>
            </wp:positionH>
            <wp:positionV relativeFrom="paragraph">
              <wp:posOffset>260</wp:posOffset>
            </wp:positionV>
            <wp:extent cx="1684020" cy="1482090"/>
            <wp:effectExtent l="0" t="0" r="0" b="0"/>
            <wp:wrapSquare wrapText="bothSides"/>
            <wp:docPr id="1" name="Picture 2" descr="Description: Description: Macintosh HD:Users:Nic:Dropbox:Documents:Current Work:Community Engagement:AARE Executive:Logo:AARE Brand Elements:New Logos:AARE:EPS:AARE Logo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Nic:Dropbox:Documents:Current Work:Community Engagement:AARE Executive:Logo:AARE Brand Elements:New Logos:AARE:EPS:AARE Logo CMYK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FF1">
        <w:rPr>
          <w:lang w:val="en-AU"/>
        </w:rPr>
        <w:t xml:space="preserve">Conference Awards Report </w:t>
      </w:r>
      <w:r>
        <w:rPr>
          <w:lang w:val="en-AU"/>
        </w:rPr>
        <w:t>February 2020</w:t>
      </w:r>
    </w:p>
    <w:p w14:paraId="0B5CEE1E" w14:textId="77777777" w:rsidR="00664FF1" w:rsidRDefault="00664FF1">
      <w:pPr>
        <w:rPr>
          <w:lang w:val="en-AU"/>
        </w:rPr>
      </w:pPr>
    </w:p>
    <w:p w14:paraId="2411420E" w14:textId="4D57CE7F" w:rsidR="00E62911" w:rsidRDefault="002155E0">
      <w:r>
        <w:rPr>
          <w:lang w:val="en-AU"/>
        </w:rPr>
        <w:t>The new format</w:t>
      </w:r>
      <w:r w:rsidR="0018125B">
        <w:rPr>
          <w:lang w:val="en-AU"/>
        </w:rPr>
        <w:t>/timetable</w:t>
      </w:r>
      <w:r>
        <w:rPr>
          <w:lang w:val="en-AU"/>
        </w:rPr>
        <w:t xml:space="preserve"> of award presentations went smoothly including Indigenous a</w:t>
      </w:r>
      <w:r w:rsidR="001E6E8B">
        <w:rPr>
          <w:lang w:val="en-AU"/>
        </w:rPr>
        <w:t>wards with special guest Aunty Denise Proud</w:t>
      </w:r>
      <w:r>
        <w:rPr>
          <w:lang w:val="en-AU"/>
        </w:rPr>
        <w:t xml:space="preserve"> presenting important stories of her relationship with Betty Watts before presentation of </w:t>
      </w:r>
      <w:r w:rsidR="00FB2050">
        <w:rPr>
          <w:lang w:val="en-AU"/>
        </w:rPr>
        <w:t xml:space="preserve">the </w:t>
      </w:r>
      <w:r w:rsidR="005A6105" w:rsidRPr="005A6105">
        <w:t>Indigenous Postgr</w:t>
      </w:r>
      <w:r w:rsidR="005A6105">
        <w:t>aduate Student Researcher Award</w:t>
      </w:r>
      <w:r>
        <w:t xml:space="preserve"> and </w:t>
      </w:r>
      <w:r>
        <w:t>Betty Watts Indigenous Researcher Award</w:t>
      </w:r>
      <w:r w:rsidR="009626AE">
        <w:t xml:space="preserve">. </w:t>
      </w:r>
      <w:r w:rsidR="00E62911">
        <w:t xml:space="preserve">Our </w:t>
      </w:r>
      <w:r w:rsidR="00E62911">
        <w:rPr>
          <w:lang w:val="en-AU"/>
        </w:rPr>
        <w:t xml:space="preserve">guest Aunty Denise Proud </w:t>
      </w:r>
      <w:r w:rsidR="00E62911">
        <w:rPr>
          <w:lang w:val="en-AU"/>
        </w:rPr>
        <w:t xml:space="preserve">was presented with flowers in recognition of her generous contribution to the session, her contribution to education, and in recognition of her history with Betty Watts. </w:t>
      </w:r>
      <w:r w:rsidR="006D2212">
        <w:t xml:space="preserve">The </w:t>
      </w:r>
      <w:r w:rsidR="00E62911">
        <w:t xml:space="preserve">Early Career Researcher Award, </w:t>
      </w:r>
      <w:r w:rsidR="00E62911">
        <w:t>Poster Award and</w:t>
      </w:r>
      <w:r w:rsidR="00E62911">
        <w:t xml:space="preserve"> Postgraduate Researcher Award</w:t>
      </w:r>
      <w:r w:rsidR="00E62911">
        <w:t xml:space="preserve"> </w:t>
      </w:r>
      <w:r w:rsidR="006D2212">
        <w:t>were presented by Amanda Keddie</w:t>
      </w:r>
      <w:r w:rsidR="00E62911">
        <w:t xml:space="preserve">. Reviewers were named and thanked as part of the Award ceremony, namely </w:t>
      </w:r>
      <w:r w:rsidR="00E62911">
        <w:rPr>
          <w:lang w:val="en-AU"/>
        </w:rPr>
        <w:t>Kevin Lowe, Jo Rei</w:t>
      </w:r>
      <w:r w:rsidR="006B5798">
        <w:rPr>
          <w:lang w:val="en-AU"/>
        </w:rPr>
        <w:t>d, Amanda Keddie, Peter Renshaw, Aspa Baroutsis and</w:t>
      </w:r>
      <w:r w:rsidR="00E62911">
        <w:rPr>
          <w:lang w:val="en-AU"/>
        </w:rPr>
        <w:t xml:space="preserve"> Annette Woods</w:t>
      </w:r>
      <w:r w:rsidR="006B5798">
        <w:rPr>
          <w:lang w:val="en-AU"/>
        </w:rPr>
        <w:t>.</w:t>
      </w:r>
    </w:p>
    <w:p w14:paraId="738C4061" w14:textId="77777777" w:rsidR="00E62911" w:rsidRDefault="00E62911"/>
    <w:p w14:paraId="47A9D509" w14:textId="6AD1CFE6" w:rsidR="009626AE" w:rsidRDefault="00523611">
      <w:r>
        <w:t>A</w:t>
      </w:r>
      <w:r>
        <w:t>fter the conference</w:t>
      </w:r>
      <w:r>
        <w:t>,</w:t>
      </w:r>
      <w:r>
        <w:t xml:space="preserve"> </w:t>
      </w:r>
      <w:r w:rsidR="00E62911">
        <w:t xml:space="preserve">Deb Cracknell sent letters of thanks to reviewers </w:t>
      </w:r>
      <w:r>
        <w:t>for their valuable time and intellectual contribution</w:t>
      </w:r>
      <w:r w:rsidR="009031D4">
        <w:t xml:space="preserve"> and followed up with Awardees for any outstanding financial follow ups relating to the awards</w:t>
      </w:r>
      <w:r>
        <w:t xml:space="preserve">. </w:t>
      </w:r>
    </w:p>
    <w:p w14:paraId="374B8BC7" w14:textId="77777777" w:rsidR="009626AE" w:rsidRDefault="009626AE"/>
    <w:p w14:paraId="27432F48" w14:textId="6A08EC45" w:rsidR="003A6558" w:rsidRDefault="009031D4">
      <w:r>
        <w:t>The quality, form and processing of the Poster Award submission and review is something I would like to see addressed in the future and will seek expert, administrative and Executive feedback on ideas around that</w:t>
      </w:r>
      <w:r w:rsidR="00516662">
        <w:t xml:space="preserve"> before</w:t>
      </w:r>
      <w:r w:rsidR="006D4DBF">
        <w:t xml:space="preserve"> receiving new submissions. I would also like to further refine receipt and review processing of nominated papers given our new platform possibilities and will do that with Deb Cracknell.</w:t>
      </w:r>
      <w:bookmarkStart w:id="0" w:name="_GoBack"/>
      <w:bookmarkEnd w:id="0"/>
      <w:r>
        <w:t xml:space="preserve"> </w:t>
      </w:r>
    </w:p>
    <w:p w14:paraId="0E2197E1" w14:textId="77777777" w:rsidR="009031D4" w:rsidRDefault="009031D4"/>
    <w:p w14:paraId="2F8DB7D2" w14:textId="77777777" w:rsidR="009031D4" w:rsidRDefault="009031D4" w:rsidP="009031D4">
      <w:r>
        <w:t xml:space="preserve">Thanks to those on the Executive who attended the </w:t>
      </w:r>
      <w:r>
        <w:rPr>
          <w:lang w:val="en-AU"/>
        </w:rPr>
        <w:t>Awardee breakfast, it seemed an important point for acknowledging Awardee success and developing relationships for (potential) new/early members and (more experienced) members. Thanks also to Deb Cracknell for all her hard work pre, during and post awards to ensure we provided a very professional, supportive and smooth process.</w:t>
      </w:r>
    </w:p>
    <w:p w14:paraId="522612C8" w14:textId="77777777" w:rsidR="009031D4" w:rsidRDefault="009031D4">
      <w:pPr>
        <w:rPr>
          <w:lang w:val="en-AU"/>
        </w:rPr>
      </w:pPr>
    </w:p>
    <w:p w14:paraId="5AD3044A" w14:textId="19AB6052" w:rsidR="00EB63D2" w:rsidRPr="009031D4" w:rsidRDefault="002155E0" w:rsidP="00EB63D2">
      <w:pPr>
        <w:rPr>
          <w:b/>
          <w:lang w:val="en-AU"/>
        </w:rPr>
      </w:pPr>
      <w:r>
        <w:rPr>
          <w:b/>
          <w:lang w:val="en-AU"/>
        </w:rPr>
        <w:t>Awardees</w:t>
      </w:r>
      <w:r w:rsidR="003A6558" w:rsidRPr="007D4E29">
        <w:rPr>
          <w:b/>
          <w:lang w:val="en-AU"/>
        </w:rPr>
        <w:t>: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1089"/>
        <w:gridCol w:w="1336"/>
        <w:gridCol w:w="7109"/>
      </w:tblGrid>
      <w:tr w:rsidR="002155E0" w14:paraId="0F135E24" w14:textId="77777777" w:rsidTr="002155E0">
        <w:tc>
          <w:tcPr>
            <w:tcW w:w="1089" w:type="dxa"/>
          </w:tcPr>
          <w:p w14:paraId="6C588397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Award</w:t>
            </w:r>
          </w:p>
        </w:tc>
        <w:tc>
          <w:tcPr>
            <w:tcW w:w="1336" w:type="dxa"/>
          </w:tcPr>
          <w:p w14:paraId="1ABD2999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Winner</w:t>
            </w:r>
          </w:p>
        </w:tc>
        <w:tc>
          <w:tcPr>
            <w:tcW w:w="7109" w:type="dxa"/>
          </w:tcPr>
          <w:p w14:paraId="65F1A23B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Title</w:t>
            </w:r>
          </w:p>
        </w:tc>
      </w:tr>
      <w:tr w:rsidR="002155E0" w14:paraId="767F1C9B" w14:textId="77777777" w:rsidTr="002155E0">
        <w:tc>
          <w:tcPr>
            <w:tcW w:w="1089" w:type="dxa"/>
          </w:tcPr>
          <w:p w14:paraId="750F33C3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IPSR</w:t>
            </w:r>
          </w:p>
        </w:tc>
        <w:tc>
          <w:tcPr>
            <w:tcW w:w="1336" w:type="dxa"/>
          </w:tcPr>
          <w:p w14:paraId="6341B1E1" w14:textId="77777777" w:rsidR="002155E0" w:rsidRDefault="002155E0" w:rsidP="00DA2B50">
            <w:pPr>
              <w:rPr>
                <w:lang w:val="en-AU"/>
              </w:rPr>
            </w:pPr>
            <w:r w:rsidRPr="009D083C">
              <w:rPr>
                <w:lang w:val="en-AU"/>
              </w:rPr>
              <w:t>Michelle Bishop</w:t>
            </w:r>
          </w:p>
        </w:tc>
        <w:tc>
          <w:tcPr>
            <w:tcW w:w="7109" w:type="dxa"/>
          </w:tcPr>
          <w:p w14:paraId="6A51F042" w14:textId="77777777" w:rsidR="002155E0" w:rsidRDefault="002155E0" w:rsidP="00DA2B50">
            <w:pPr>
              <w:rPr>
                <w:lang w:val="en-AU"/>
              </w:rPr>
            </w:pPr>
            <w:r w:rsidRPr="00CA3A3F">
              <w:t xml:space="preserve">Indigenous education sovereignty: Enough’s enough </w:t>
            </w:r>
          </w:p>
        </w:tc>
      </w:tr>
      <w:tr w:rsidR="002155E0" w14:paraId="13754F28" w14:textId="77777777" w:rsidTr="002155E0">
        <w:tc>
          <w:tcPr>
            <w:tcW w:w="1089" w:type="dxa"/>
          </w:tcPr>
          <w:p w14:paraId="057961F2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BWIR</w:t>
            </w:r>
          </w:p>
        </w:tc>
        <w:tc>
          <w:tcPr>
            <w:tcW w:w="1336" w:type="dxa"/>
          </w:tcPr>
          <w:p w14:paraId="1CAF294E" w14:textId="77777777" w:rsidR="002155E0" w:rsidRDefault="002155E0" w:rsidP="00DA2B50">
            <w:pPr>
              <w:rPr>
                <w:lang w:val="en-AU"/>
              </w:rPr>
            </w:pPr>
            <w:r w:rsidRPr="00D17DC1">
              <w:rPr>
                <w:lang w:val="en-AU"/>
              </w:rPr>
              <w:t>Melitta Hogarth and Ali Drummond</w:t>
            </w:r>
          </w:p>
        </w:tc>
        <w:tc>
          <w:tcPr>
            <w:tcW w:w="7109" w:type="dxa"/>
          </w:tcPr>
          <w:p w14:paraId="06D04525" w14:textId="77777777" w:rsidR="002155E0" w:rsidRPr="00D17DC1" w:rsidRDefault="002155E0" w:rsidP="00DA2B50">
            <w:pPr>
              <w:rPr>
                <w:lang w:val="en-US"/>
              </w:rPr>
            </w:pPr>
            <w:r w:rsidRPr="00D17DC1">
              <w:rPr>
                <w:lang w:val="en-US"/>
              </w:rPr>
              <w:t>Education is everybody’s business or is it?: An analysis of education academics’ attitudes and preconceptions about Indigenous content</w:t>
            </w:r>
          </w:p>
          <w:p w14:paraId="7EF94B91" w14:textId="77777777" w:rsidR="002155E0" w:rsidRDefault="002155E0" w:rsidP="00DA2B50">
            <w:pPr>
              <w:rPr>
                <w:lang w:val="en-AU"/>
              </w:rPr>
            </w:pPr>
          </w:p>
        </w:tc>
      </w:tr>
      <w:tr w:rsidR="002155E0" w14:paraId="59C53FBA" w14:textId="77777777" w:rsidTr="002155E0">
        <w:tc>
          <w:tcPr>
            <w:tcW w:w="1089" w:type="dxa"/>
          </w:tcPr>
          <w:p w14:paraId="166A5CFE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ECR</w:t>
            </w:r>
          </w:p>
        </w:tc>
        <w:tc>
          <w:tcPr>
            <w:tcW w:w="1336" w:type="dxa"/>
          </w:tcPr>
          <w:p w14:paraId="097E3D3D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David Bright</w:t>
            </w:r>
          </w:p>
        </w:tc>
        <w:tc>
          <w:tcPr>
            <w:tcW w:w="7109" w:type="dxa"/>
          </w:tcPr>
          <w:p w14:paraId="4B001325" w14:textId="77777777" w:rsidR="002155E0" w:rsidRPr="00CA3A3F" w:rsidRDefault="002155E0" w:rsidP="00DA2B50">
            <w:r w:rsidRPr="00CA3A3F">
              <w:t>Qualitative inquiry and Deleuze and Guattari’s minor literature: In which I consider verisimilitude as a criterion for judging the quality of qualitative writing with reference made to Kurt Vonnegut</w:t>
            </w:r>
            <w:r>
              <w:t>’</w:t>
            </w:r>
            <w:r w:rsidRPr="00CA3A3F">
              <w:t>s novel Slaughterhouse 5 albeit not really in the telegraphic schizophrenic manner of tales of the planet Tralfamadore</w:t>
            </w:r>
          </w:p>
          <w:p w14:paraId="5CEB3EF1" w14:textId="77777777" w:rsidR="002155E0" w:rsidRDefault="002155E0" w:rsidP="00DA2B50">
            <w:pPr>
              <w:rPr>
                <w:lang w:val="en-AU"/>
              </w:rPr>
            </w:pPr>
          </w:p>
        </w:tc>
      </w:tr>
      <w:tr w:rsidR="002155E0" w14:paraId="610B50DA" w14:textId="77777777" w:rsidTr="002155E0">
        <w:tc>
          <w:tcPr>
            <w:tcW w:w="1089" w:type="dxa"/>
          </w:tcPr>
          <w:p w14:paraId="7F2AB4D5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PG</w:t>
            </w:r>
          </w:p>
        </w:tc>
        <w:tc>
          <w:tcPr>
            <w:tcW w:w="1336" w:type="dxa"/>
          </w:tcPr>
          <w:p w14:paraId="24684FA8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Craig Wood</w:t>
            </w:r>
          </w:p>
        </w:tc>
        <w:tc>
          <w:tcPr>
            <w:tcW w:w="7109" w:type="dxa"/>
          </w:tcPr>
          <w:p w14:paraId="50C4B8AC" w14:textId="77777777" w:rsidR="002155E0" w:rsidRDefault="002155E0" w:rsidP="00DA2B50">
            <w:pPr>
              <w:rPr>
                <w:lang w:val="en-AU"/>
              </w:rPr>
            </w:pPr>
            <w:r w:rsidRPr="008B2622">
              <w:rPr>
                <w:lang w:val="en-AU"/>
              </w:rPr>
              <w:t>Waking up to Memmi: A dwam of critical whiteness studies in school curriculum and pedagogy</w:t>
            </w:r>
          </w:p>
        </w:tc>
      </w:tr>
      <w:tr w:rsidR="002155E0" w14:paraId="0BF4A435" w14:textId="77777777" w:rsidTr="002155E0">
        <w:tc>
          <w:tcPr>
            <w:tcW w:w="1089" w:type="dxa"/>
          </w:tcPr>
          <w:p w14:paraId="0A299DF4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PG</w:t>
            </w:r>
          </w:p>
        </w:tc>
        <w:tc>
          <w:tcPr>
            <w:tcW w:w="1336" w:type="dxa"/>
          </w:tcPr>
          <w:p w14:paraId="799D5C8C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>Diana Langmead</w:t>
            </w:r>
          </w:p>
        </w:tc>
        <w:tc>
          <w:tcPr>
            <w:tcW w:w="7109" w:type="dxa"/>
          </w:tcPr>
          <w:p w14:paraId="24F46EEE" w14:textId="77777777" w:rsidR="002155E0" w:rsidRDefault="002155E0" w:rsidP="00DA2B50">
            <w:pPr>
              <w:rPr>
                <w:lang w:val="en-AU"/>
              </w:rPr>
            </w:pPr>
            <w:r w:rsidRPr="008B2622">
              <w:rPr>
                <w:lang w:val="en-AU"/>
              </w:rPr>
              <w:t xml:space="preserve">An exalted past but what future? An elite </w:t>
            </w:r>
            <w:r>
              <w:rPr>
                <w:lang w:val="en-AU"/>
              </w:rPr>
              <w:t>school grapples with India’</w:t>
            </w:r>
            <w:r w:rsidRPr="008B2622">
              <w:rPr>
                <w:lang w:val="en-AU"/>
              </w:rPr>
              <w:t>s Right to Education Act, 2009.</w:t>
            </w:r>
          </w:p>
        </w:tc>
      </w:tr>
      <w:tr w:rsidR="002155E0" w14:paraId="557D0568" w14:textId="77777777" w:rsidTr="002155E0">
        <w:tc>
          <w:tcPr>
            <w:tcW w:w="1089" w:type="dxa"/>
          </w:tcPr>
          <w:p w14:paraId="434C3881" w14:textId="77777777" w:rsidR="002155E0" w:rsidRDefault="002155E0" w:rsidP="00DA2B50">
            <w:pPr>
              <w:rPr>
                <w:lang w:val="en-AU"/>
              </w:rPr>
            </w:pPr>
            <w:r>
              <w:rPr>
                <w:lang w:val="en-AU"/>
              </w:rPr>
              <w:t xml:space="preserve">Poster </w:t>
            </w:r>
          </w:p>
        </w:tc>
        <w:tc>
          <w:tcPr>
            <w:tcW w:w="1336" w:type="dxa"/>
          </w:tcPr>
          <w:p w14:paraId="5E208FFE" w14:textId="67686588" w:rsidR="002155E0" w:rsidRPr="00963940" w:rsidRDefault="00963940" w:rsidP="00DA2B50">
            <w:r w:rsidRPr="00963940">
              <w:t>Yael Leibovitch</w:t>
            </w:r>
          </w:p>
        </w:tc>
        <w:tc>
          <w:tcPr>
            <w:tcW w:w="7109" w:type="dxa"/>
          </w:tcPr>
          <w:p w14:paraId="2240E907" w14:textId="5926AD5B" w:rsidR="002155E0" w:rsidRPr="00675783" w:rsidRDefault="00675783" w:rsidP="00DA2B50">
            <w:r w:rsidRPr="00675783">
              <w:t>Writing as a 21st century skill: A dialogic approach to literacy pedagogy</w:t>
            </w:r>
          </w:p>
        </w:tc>
      </w:tr>
    </w:tbl>
    <w:p w14:paraId="3845420B" w14:textId="77777777" w:rsidR="00EB63D2" w:rsidRDefault="00EB63D2" w:rsidP="00EB63D2">
      <w:pPr>
        <w:rPr>
          <w:lang w:val="en-AU"/>
        </w:rPr>
      </w:pPr>
    </w:p>
    <w:p w14:paraId="0C62D36B" w14:textId="77777777" w:rsidR="00451036" w:rsidRDefault="00451036" w:rsidP="00451036">
      <w:pPr>
        <w:rPr>
          <w:lang w:val="en-AU"/>
        </w:rPr>
      </w:pPr>
      <w:r>
        <w:rPr>
          <w:b/>
        </w:rPr>
        <w:t>IPSR</w:t>
      </w:r>
      <w:r w:rsidRPr="002B124F">
        <w:rPr>
          <w:b/>
        </w:rPr>
        <w:t xml:space="preserve">: </w:t>
      </w:r>
      <w:r w:rsidRPr="002B124F">
        <w:t>The Indigenous Postgraduate Student Researcher Award recognises an outstanding conference paper by a postgraduate student researcher who identifies as an Aboriginal and/or Torres Strait Islander person.</w:t>
      </w:r>
      <w:r>
        <w:t xml:space="preserve"> 1 submission</w:t>
      </w:r>
    </w:p>
    <w:p w14:paraId="4655775A" w14:textId="77777777" w:rsidR="00451036" w:rsidRDefault="00451036" w:rsidP="00451036">
      <w:pPr>
        <w:rPr>
          <w:lang w:val="en-AU"/>
        </w:rPr>
      </w:pPr>
    </w:p>
    <w:p w14:paraId="57D09C79" w14:textId="77777777" w:rsidR="00451036" w:rsidRDefault="00451036" w:rsidP="00451036">
      <w:pPr>
        <w:rPr>
          <w:lang w:val="en-AU"/>
        </w:rPr>
      </w:pPr>
      <w:r w:rsidRPr="00D82456">
        <w:rPr>
          <w:b/>
          <w:lang w:val="en-AU"/>
        </w:rPr>
        <w:t>ECR</w:t>
      </w:r>
      <w:r>
        <w:rPr>
          <w:lang w:val="en-AU"/>
        </w:rPr>
        <w:t xml:space="preserve">: </w:t>
      </w:r>
      <w:r w:rsidRPr="00397F9A">
        <w:rPr>
          <w:lang w:val="en-AU"/>
        </w:rPr>
        <w:t>To recognise an outstanding conference paper by an early career researcher presented at the annual AARE Conference</w:t>
      </w:r>
      <w:r>
        <w:rPr>
          <w:lang w:val="en-AU"/>
        </w:rPr>
        <w:t>. 8 submissions</w:t>
      </w:r>
    </w:p>
    <w:p w14:paraId="790FB38E" w14:textId="77777777" w:rsidR="00451036" w:rsidRDefault="00451036" w:rsidP="00451036">
      <w:pPr>
        <w:rPr>
          <w:lang w:val="en-AU"/>
        </w:rPr>
      </w:pPr>
    </w:p>
    <w:p w14:paraId="6A685A7A" w14:textId="77777777" w:rsidR="00451036" w:rsidRDefault="00451036" w:rsidP="00451036">
      <w:pPr>
        <w:rPr>
          <w:lang w:val="en-AU"/>
        </w:rPr>
      </w:pPr>
      <w:r w:rsidRPr="00D82456">
        <w:rPr>
          <w:b/>
          <w:lang w:val="en-AU"/>
        </w:rPr>
        <w:t xml:space="preserve">BWIR: </w:t>
      </w:r>
      <w:r w:rsidRPr="00397F9A">
        <w:rPr>
          <w:lang w:val="en-AU"/>
        </w:rPr>
        <w:t>To recognise an outstanding conference paper by an Aboriginal and/or Torres Strait Islander researcher</w:t>
      </w:r>
      <w:r>
        <w:rPr>
          <w:lang w:val="en-AU"/>
        </w:rPr>
        <w:t>. 1 submission</w:t>
      </w:r>
    </w:p>
    <w:p w14:paraId="4063D8F4" w14:textId="77777777" w:rsidR="00451036" w:rsidRDefault="00451036" w:rsidP="00451036">
      <w:pPr>
        <w:rPr>
          <w:lang w:val="en-AU"/>
        </w:rPr>
      </w:pPr>
    </w:p>
    <w:p w14:paraId="5186F24A" w14:textId="77777777" w:rsidR="00451036" w:rsidRDefault="00451036" w:rsidP="00451036">
      <w:pPr>
        <w:rPr>
          <w:lang w:val="en-AU"/>
        </w:rPr>
      </w:pPr>
      <w:r w:rsidRPr="00D82456">
        <w:rPr>
          <w:b/>
          <w:lang w:val="en-AU"/>
        </w:rPr>
        <w:t>PGR</w:t>
      </w:r>
      <w:r>
        <w:rPr>
          <w:lang w:val="en-AU"/>
        </w:rPr>
        <w:t xml:space="preserve">: </w:t>
      </w:r>
      <w:r w:rsidRPr="00397F9A">
        <w:rPr>
          <w:lang w:val="en-AU"/>
        </w:rPr>
        <w:t>To recognise an outstanding paper given by a Postgraduate Student at the annual AARE Conference.</w:t>
      </w:r>
      <w:r>
        <w:rPr>
          <w:lang w:val="en-AU"/>
        </w:rPr>
        <w:t xml:space="preserve"> 18 submissions</w:t>
      </w:r>
    </w:p>
    <w:p w14:paraId="4109DF11" w14:textId="77777777" w:rsidR="00451036" w:rsidRDefault="00451036" w:rsidP="00451036">
      <w:pPr>
        <w:rPr>
          <w:lang w:val="en-AU"/>
        </w:rPr>
      </w:pPr>
    </w:p>
    <w:p w14:paraId="5460DD8F" w14:textId="000434FA" w:rsidR="00EB63D2" w:rsidRDefault="00451036">
      <w:pPr>
        <w:rPr>
          <w:lang w:val="en-AU"/>
        </w:rPr>
      </w:pPr>
      <w:r w:rsidRPr="00D82456">
        <w:rPr>
          <w:b/>
          <w:lang w:val="en-AU"/>
        </w:rPr>
        <w:t>Poster:</w:t>
      </w:r>
      <w:r>
        <w:rPr>
          <w:lang w:val="en-AU"/>
        </w:rPr>
        <w:t xml:space="preserve"> </w:t>
      </w:r>
      <w:r w:rsidRPr="00D82456">
        <w:rPr>
          <w:lang w:val="en-AU"/>
        </w:rPr>
        <w:t xml:space="preserve">To </w:t>
      </w:r>
      <w:r>
        <w:rPr>
          <w:lang w:val="en-AU"/>
        </w:rPr>
        <w:t xml:space="preserve">recognise an outstanding poster given by and to </w:t>
      </w:r>
      <w:r w:rsidRPr="00D82456">
        <w:rPr>
          <w:lang w:val="en-AU"/>
        </w:rPr>
        <w:t>support the participation and inclusion of postgraduate and early career researchers in the educational research community</w:t>
      </w:r>
    </w:p>
    <w:p w14:paraId="190B6A2F" w14:textId="77777777" w:rsidR="00664FF1" w:rsidRDefault="00664FF1">
      <w:pPr>
        <w:rPr>
          <w:lang w:val="en-AU"/>
        </w:rPr>
      </w:pPr>
    </w:p>
    <w:p w14:paraId="16B27299" w14:textId="77777777" w:rsidR="00664FF1" w:rsidRPr="00664FF1" w:rsidRDefault="00664FF1">
      <w:pPr>
        <w:rPr>
          <w:lang w:val="en-AU"/>
        </w:rPr>
      </w:pPr>
    </w:p>
    <w:sectPr w:rsidR="00664FF1" w:rsidRPr="00664FF1" w:rsidSect="00A24AB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7602" w14:textId="77777777" w:rsidR="00674630" w:rsidRDefault="00674630" w:rsidP="00EB63D2">
      <w:r>
        <w:separator/>
      </w:r>
    </w:p>
  </w:endnote>
  <w:endnote w:type="continuationSeparator" w:id="0">
    <w:p w14:paraId="30E2D4D7" w14:textId="77777777" w:rsidR="00674630" w:rsidRDefault="00674630" w:rsidP="00E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69B3" w14:textId="77777777" w:rsidR="00674630" w:rsidRDefault="00674630" w:rsidP="00EB63D2">
      <w:r>
        <w:separator/>
      </w:r>
    </w:p>
  </w:footnote>
  <w:footnote w:type="continuationSeparator" w:id="0">
    <w:p w14:paraId="33EE5DC4" w14:textId="77777777" w:rsidR="00674630" w:rsidRDefault="00674630" w:rsidP="00EB6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27F5" w14:textId="5C646F7F" w:rsidR="00EB63D2" w:rsidRPr="00EB63D2" w:rsidRDefault="00EB63D2">
    <w:pPr>
      <w:pStyle w:val="Header"/>
      <w:rPr>
        <w:lang w:val="en-AU"/>
      </w:rPr>
    </w:pPr>
    <w:r>
      <w:rPr>
        <w:lang w:val="en-AU"/>
      </w:rPr>
      <w:t>Conference Awards Report</w:t>
    </w:r>
    <w:r>
      <w:rPr>
        <w:lang w:val="en-AU"/>
      </w:rPr>
      <w:tab/>
    </w:r>
    <w:r w:rsidR="002155E0">
      <w:rPr>
        <w:lang w:val="en-AU"/>
      </w:rPr>
      <w:t>2020 February</w:t>
    </w:r>
    <w:r>
      <w:rPr>
        <w:lang w:val="en-AU"/>
      </w:rPr>
      <w:tab/>
      <w:t>lisahunter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F1"/>
    <w:rsid w:val="00096001"/>
    <w:rsid w:val="00097269"/>
    <w:rsid w:val="000A4B44"/>
    <w:rsid w:val="000C08E1"/>
    <w:rsid w:val="00122C27"/>
    <w:rsid w:val="001332A8"/>
    <w:rsid w:val="00152D38"/>
    <w:rsid w:val="00153A2B"/>
    <w:rsid w:val="00161DCB"/>
    <w:rsid w:val="0018125B"/>
    <w:rsid w:val="001D4113"/>
    <w:rsid w:val="001E6E8B"/>
    <w:rsid w:val="001F59D5"/>
    <w:rsid w:val="00214FB4"/>
    <w:rsid w:val="002155E0"/>
    <w:rsid w:val="00263EF6"/>
    <w:rsid w:val="002C1AE1"/>
    <w:rsid w:val="002E3F9A"/>
    <w:rsid w:val="0037130F"/>
    <w:rsid w:val="003A6558"/>
    <w:rsid w:val="00425636"/>
    <w:rsid w:val="004357F2"/>
    <w:rsid w:val="00446B10"/>
    <w:rsid w:val="00451036"/>
    <w:rsid w:val="00463AC8"/>
    <w:rsid w:val="00482304"/>
    <w:rsid w:val="00516662"/>
    <w:rsid w:val="00523611"/>
    <w:rsid w:val="0053400F"/>
    <w:rsid w:val="005468F2"/>
    <w:rsid w:val="00575391"/>
    <w:rsid w:val="00584E1A"/>
    <w:rsid w:val="00596265"/>
    <w:rsid w:val="005A6105"/>
    <w:rsid w:val="00615D51"/>
    <w:rsid w:val="00664FF1"/>
    <w:rsid w:val="00674630"/>
    <w:rsid w:val="00675783"/>
    <w:rsid w:val="006B5798"/>
    <w:rsid w:val="006C2046"/>
    <w:rsid w:val="006D2212"/>
    <w:rsid w:val="006D4DBF"/>
    <w:rsid w:val="0072637B"/>
    <w:rsid w:val="00764E6A"/>
    <w:rsid w:val="007A62F5"/>
    <w:rsid w:val="007B0A65"/>
    <w:rsid w:val="007C2C72"/>
    <w:rsid w:val="007D4E29"/>
    <w:rsid w:val="007F2056"/>
    <w:rsid w:val="008F237E"/>
    <w:rsid w:val="009031D4"/>
    <w:rsid w:val="009626AE"/>
    <w:rsid w:val="00963940"/>
    <w:rsid w:val="009973B0"/>
    <w:rsid w:val="009B75AA"/>
    <w:rsid w:val="009D35F3"/>
    <w:rsid w:val="009F0137"/>
    <w:rsid w:val="00A11041"/>
    <w:rsid w:val="00A24AB9"/>
    <w:rsid w:val="00A33E79"/>
    <w:rsid w:val="00A76DB3"/>
    <w:rsid w:val="00AE2332"/>
    <w:rsid w:val="00B042C5"/>
    <w:rsid w:val="00B66495"/>
    <w:rsid w:val="00C665E4"/>
    <w:rsid w:val="00D02E99"/>
    <w:rsid w:val="00D627CB"/>
    <w:rsid w:val="00D83721"/>
    <w:rsid w:val="00DE45B9"/>
    <w:rsid w:val="00E11D37"/>
    <w:rsid w:val="00E351E8"/>
    <w:rsid w:val="00E60315"/>
    <w:rsid w:val="00E6287F"/>
    <w:rsid w:val="00E62911"/>
    <w:rsid w:val="00E73F00"/>
    <w:rsid w:val="00E75094"/>
    <w:rsid w:val="00E943AE"/>
    <w:rsid w:val="00EB63D2"/>
    <w:rsid w:val="00F25CB4"/>
    <w:rsid w:val="00F81774"/>
    <w:rsid w:val="00F9047F"/>
    <w:rsid w:val="00FB2050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5E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1D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B6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D2"/>
  </w:style>
  <w:style w:type="paragraph" w:styleId="Footer">
    <w:name w:val="footer"/>
    <w:basedOn w:val="Normal"/>
    <w:link w:val="FooterChar"/>
    <w:uiPriority w:val="99"/>
    <w:unhideWhenUsed/>
    <w:rsid w:val="00EB6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D2"/>
  </w:style>
  <w:style w:type="table" w:styleId="TableGrid">
    <w:name w:val="Table Grid"/>
    <w:basedOn w:val="TableNormal"/>
    <w:uiPriority w:val="39"/>
    <w:rsid w:val="00EB6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lisahunter</dc:creator>
  <cp:keywords/>
  <dc:description/>
  <cp:lastModifiedBy>lisahunter</cp:lastModifiedBy>
  <cp:revision>10</cp:revision>
  <dcterms:created xsi:type="dcterms:W3CDTF">2020-02-26T23:48:00Z</dcterms:created>
  <dcterms:modified xsi:type="dcterms:W3CDTF">2020-02-27T01:51:00Z</dcterms:modified>
</cp:coreProperties>
</file>